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8457095"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9E5B76">
        <w:rPr>
          <w:bCs/>
          <w:noProof w:val="0"/>
          <w:sz w:val="24"/>
          <w:szCs w:val="24"/>
        </w:rPr>
        <w:t>2201417</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8D3843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F61C4">
        <w:rPr>
          <w:rFonts w:cs="Arial"/>
          <w:b/>
          <w:bCs/>
          <w:sz w:val="24"/>
        </w:rPr>
        <w:t>8.16</w:t>
      </w:r>
      <w:r w:rsidR="001F201D" w:rsidRPr="00DF61C4">
        <w:rPr>
          <w:rFonts w:cs="Arial"/>
          <w:b/>
          <w:bCs/>
          <w:sz w:val="24"/>
          <w:szCs w:val="24"/>
        </w:rPr>
        <w:t>.</w:t>
      </w:r>
      <w:r w:rsidR="00670845">
        <w:rPr>
          <w:rFonts w:cs="Arial"/>
          <w:b/>
          <w:bCs/>
          <w:sz w:val="24"/>
          <w:szCs w:val="24"/>
        </w:rPr>
        <w:t>10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A212EC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670845" w:rsidRPr="00187789">
        <w:rPr>
          <w:rFonts w:ascii="Arial" w:hAnsi="Arial" w:cs="Arial"/>
          <w:b/>
          <w:bCs/>
          <w:sz w:val="24"/>
        </w:rPr>
        <w:t>IAB enhancements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2C7B37B" w14:textId="08AFCA15" w:rsidR="00F31590" w:rsidRPr="00056BDE" w:rsidRDefault="00F31590" w:rsidP="00F31590">
      <w:bookmarkStart w:id="1" w:name="_Hlk510705081"/>
      <w:r>
        <w:t xml:space="preserve">In RAN1#107-e the baseline for UE features has been further refined [1, 2], but </w:t>
      </w:r>
      <w:r w:rsidR="00670845" w:rsidRPr="00670845">
        <w:t>IAB enhancements</w:t>
      </w:r>
      <w:r w:rsidRPr="00F31590">
        <w:t xml:space="preserve"> </w:t>
      </w:r>
      <w:r>
        <w:t xml:space="preserve">has not been part of the scope of RAN1#107-e. In this contribution we present our views on the UE features for </w:t>
      </w:r>
      <w:r w:rsidR="00670845" w:rsidRPr="00670845">
        <w:t>IAB enhancements</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621356A1" w14:textId="35FC2ACB" w:rsidR="00670845" w:rsidRPr="00572CEC" w:rsidRDefault="00670845" w:rsidP="00670845">
      <w:pPr>
        <w:pStyle w:val="ListParagraph"/>
        <w:numPr>
          <w:ilvl w:val="0"/>
          <w:numId w:val="34"/>
        </w:numPr>
        <w:rPr>
          <w:sz w:val="20"/>
          <w:szCs w:val="20"/>
        </w:rPr>
      </w:pPr>
      <w:r w:rsidRPr="00572CEC">
        <w:rPr>
          <w:sz w:val="20"/>
          <w:szCs w:val="20"/>
        </w:rPr>
        <w:t>31-7:</w:t>
      </w:r>
    </w:p>
    <w:p w14:paraId="1AEF552D" w14:textId="338B492A" w:rsidR="00670845" w:rsidRPr="00572CEC" w:rsidRDefault="00572CEC" w:rsidP="00670845">
      <w:pPr>
        <w:pStyle w:val="ListParagraph"/>
        <w:numPr>
          <w:ilvl w:val="1"/>
          <w:numId w:val="34"/>
        </w:numPr>
        <w:rPr>
          <w:sz w:val="20"/>
          <w:szCs w:val="20"/>
        </w:rPr>
      </w:pPr>
      <w:r w:rsidRPr="00572CEC">
        <w:rPr>
          <w:sz w:val="20"/>
          <w:szCs w:val="20"/>
        </w:rPr>
        <w:t xml:space="preserve">It is </w:t>
      </w:r>
      <w:proofErr w:type="spellStart"/>
      <w:r w:rsidRPr="00572CEC">
        <w:rPr>
          <w:sz w:val="20"/>
          <w:szCs w:val="20"/>
        </w:rPr>
        <w:t>fine</w:t>
      </w:r>
      <w:proofErr w:type="spellEnd"/>
      <w:r w:rsidRPr="00572CEC">
        <w:rPr>
          <w:sz w:val="20"/>
          <w:szCs w:val="20"/>
        </w:rPr>
        <w:t xml:space="preserve"> to </w:t>
      </w:r>
      <w:proofErr w:type="spellStart"/>
      <w:r w:rsidRPr="00572CEC">
        <w:rPr>
          <w:sz w:val="20"/>
          <w:szCs w:val="20"/>
        </w:rPr>
        <w:t>confirm</w:t>
      </w:r>
      <w:proofErr w:type="spellEnd"/>
      <w:r w:rsidRPr="00572CEC">
        <w:rPr>
          <w:sz w:val="20"/>
          <w:szCs w:val="20"/>
        </w:rPr>
        <w:t xml:space="preserve"> </w:t>
      </w:r>
      <w:proofErr w:type="spellStart"/>
      <w:r w:rsidRPr="00572CEC">
        <w:rPr>
          <w:sz w:val="20"/>
          <w:szCs w:val="20"/>
        </w:rPr>
        <w:t>the</w:t>
      </w:r>
      <w:proofErr w:type="spellEnd"/>
      <w:r w:rsidRPr="00572CEC">
        <w:rPr>
          <w:sz w:val="20"/>
          <w:szCs w:val="20"/>
        </w:rPr>
        <w:t xml:space="preserve"> </w:t>
      </w:r>
      <w:proofErr w:type="spellStart"/>
      <w:r w:rsidRPr="00572CEC">
        <w:rPr>
          <w:sz w:val="20"/>
          <w:szCs w:val="20"/>
        </w:rPr>
        <w:t>text</w:t>
      </w:r>
      <w:proofErr w:type="spellEnd"/>
      <w:r w:rsidRPr="00572CEC">
        <w:rPr>
          <w:sz w:val="20"/>
          <w:szCs w:val="20"/>
        </w:rPr>
        <w:t xml:space="preserve"> in </w:t>
      </w:r>
      <w:proofErr w:type="spellStart"/>
      <w:r w:rsidRPr="00572CEC">
        <w:rPr>
          <w:sz w:val="20"/>
          <w:szCs w:val="20"/>
        </w:rPr>
        <w:t>brackets</w:t>
      </w:r>
      <w:proofErr w:type="spellEnd"/>
      <w:r w:rsidRPr="00572CEC">
        <w:rPr>
          <w:sz w:val="20"/>
          <w:szCs w:val="20"/>
        </w:rPr>
        <w:t xml:space="preserve"> in </w:t>
      </w:r>
      <w:proofErr w:type="spellStart"/>
      <w:r w:rsidRPr="00572CEC">
        <w:rPr>
          <w:sz w:val="20"/>
          <w:szCs w:val="20"/>
        </w:rPr>
        <w:t>principle</w:t>
      </w:r>
      <w:proofErr w:type="spellEnd"/>
      <w:r w:rsidRPr="00572CEC">
        <w:rPr>
          <w:sz w:val="20"/>
          <w:szCs w:val="20"/>
        </w:rPr>
        <w:t xml:space="preserve">. One </w:t>
      </w:r>
      <w:proofErr w:type="spellStart"/>
      <w:r w:rsidRPr="00572CEC">
        <w:rPr>
          <w:sz w:val="20"/>
          <w:szCs w:val="20"/>
        </w:rPr>
        <w:t>alternative</w:t>
      </w:r>
      <w:proofErr w:type="spellEnd"/>
      <w:r w:rsidRPr="00572CEC">
        <w:rPr>
          <w:sz w:val="20"/>
          <w:szCs w:val="20"/>
        </w:rPr>
        <w:t xml:space="preserve"> </w:t>
      </w:r>
      <w:proofErr w:type="spellStart"/>
      <w:r w:rsidRPr="00572CEC">
        <w:rPr>
          <w:sz w:val="20"/>
          <w:szCs w:val="20"/>
        </w:rPr>
        <w:t>formulation</w:t>
      </w:r>
      <w:proofErr w:type="spellEnd"/>
      <w:r w:rsidRPr="00572CEC">
        <w:rPr>
          <w:sz w:val="20"/>
          <w:szCs w:val="20"/>
        </w:rPr>
        <w:t xml:space="preserve"> </w:t>
      </w:r>
      <w:proofErr w:type="spellStart"/>
      <w:r w:rsidRPr="00572CEC">
        <w:rPr>
          <w:sz w:val="20"/>
          <w:szCs w:val="20"/>
        </w:rPr>
        <w:t>that</w:t>
      </w:r>
      <w:proofErr w:type="spellEnd"/>
      <w:r w:rsidRPr="00572CEC">
        <w:rPr>
          <w:sz w:val="20"/>
          <w:szCs w:val="20"/>
        </w:rPr>
        <w:t xml:space="preserve"> is </w:t>
      </w:r>
      <w:proofErr w:type="spellStart"/>
      <w:r w:rsidRPr="00572CEC">
        <w:rPr>
          <w:sz w:val="20"/>
          <w:szCs w:val="20"/>
        </w:rPr>
        <w:t>more</w:t>
      </w:r>
      <w:proofErr w:type="spellEnd"/>
      <w:r w:rsidRPr="00572CEC">
        <w:rPr>
          <w:sz w:val="20"/>
          <w:szCs w:val="20"/>
        </w:rPr>
        <w:t xml:space="preserve"> </w:t>
      </w:r>
      <w:proofErr w:type="spellStart"/>
      <w:r w:rsidRPr="00572CEC">
        <w:rPr>
          <w:sz w:val="20"/>
          <w:szCs w:val="20"/>
        </w:rPr>
        <w:t>precise</w:t>
      </w:r>
      <w:proofErr w:type="spellEnd"/>
      <w:r w:rsidRPr="00572CEC">
        <w:rPr>
          <w:sz w:val="20"/>
          <w:szCs w:val="20"/>
        </w:rPr>
        <w:t xml:space="preserve"> is ”</w:t>
      </w:r>
      <w:proofErr w:type="spellStart"/>
      <w:r w:rsidRPr="00572CEC">
        <w:rPr>
          <w:sz w:val="20"/>
          <w:szCs w:val="20"/>
        </w:rPr>
        <w:t>Desired</w:t>
      </w:r>
      <w:proofErr w:type="spellEnd"/>
      <w:r w:rsidRPr="00572CEC">
        <w:rPr>
          <w:sz w:val="20"/>
          <w:szCs w:val="20"/>
        </w:rPr>
        <w:t xml:space="preserve"> </w:t>
      </w:r>
      <w:proofErr w:type="spellStart"/>
      <w:r w:rsidRPr="00572CEC">
        <w:rPr>
          <w:sz w:val="20"/>
          <w:szCs w:val="20"/>
        </w:rPr>
        <w:t>power</w:t>
      </w:r>
      <w:proofErr w:type="spellEnd"/>
      <w:r w:rsidRPr="00572CEC">
        <w:rPr>
          <w:sz w:val="20"/>
          <w:szCs w:val="20"/>
        </w:rPr>
        <w:t xml:space="preserve"> </w:t>
      </w:r>
      <w:proofErr w:type="spellStart"/>
      <w:r w:rsidRPr="00572CEC">
        <w:rPr>
          <w:sz w:val="20"/>
          <w:szCs w:val="20"/>
        </w:rPr>
        <w:t>range</w:t>
      </w:r>
      <w:proofErr w:type="spellEnd"/>
      <w:r w:rsidRPr="00572CEC">
        <w:rPr>
          <w:sz w:val="20"/>
          <w:szCs w:val="20"/>
        </w:rPr>
        <w:t xml:space="preserve"> </w:t>
      </w:r>
      <w:proofErr w:type="spellStart"/>
      <w:r w:rsidRPr="00572CEC">
        <w:rPr>
          <w:sz w:val="20"/>
          <w:szCs w:val="20"/>
        </w:rPr>
        <w:t>adjustment</w:t>
      </w:r>
      <w:proofErr w:type="spellEnd"/>
      <w:r w:rsidRPr="00572CEC">
        <w:rPr>
          <w:sz w:val="20"/>
          <w:szCs w:val="20"/>
        </w:rPr>
        <w:t xml:space="preserve">”. </w:t>
      </w:r>
    </w:p>
    <w:p w14:paraId="6AA36E65" w14:textId="4954DFF5" w:rsidR="00670845" w:rsidRPr="00572CEC" w:rsidRDefault="00670845" w:rsidP="00670845">
      <w:pPr>
        <w:pStyle w:val="ListParagraph"/>
        <w:numPr>
          <w:ilvl w:val="0"/>
          <w:numId w:val="34"/>
        </w:numPr>
        <w:rPr>
          <w:sz w:val="20"/>
          <w:szCs w:val="20"/>
        </w:rPr>
      </w:pPr>
      <w:r w:rsidRPr="00572CEC">
        <w:rPr>
          <w:sz w:val="20"/>
          <w:szCs w:val="20"/>
        </w:rPr>
        <w:t>31-8:</w:t>
      </w:r>
    </w:p>
    <w:p w14:paraId="1ACF0ABC" w14:textId="20CA2CD2" w:rsidR="00670845" w:rsidRDefault="00572CEC" w:rsidP="00670845">
      <w:pPr>
        <w:pStyle w:val="ListParagraph"/>
        <w:numPr>
          <w:ilvl w:val="1"/>
          <w:numId w:val="34"/>
        </w:numPr>
        <w:rPr>
          <w:sz w:val="20"/>
          <w:szCs w:val="20"/>
        </w:rPr>
      </w:pPr>
      <w:proofErr w:type="spellStart"/>
      <w:r w:rsidRPr="00572CEC">
        <w:rPr>
          <w:sz w:val="20"/>
          <w:szCs w:val="20"/>
        </w:rPr>
        <w:t>Some</w:t>
      </w:r>
      <w:proofErr w:type="spellEnd"/>
      <w:r w:rsidRPr="00572CEC">
        <w:rPr>
          <w:sz w:val="20"/>
          <w:szCs w:val="20"/>
        </w:rPr>
        <w:t xml:space="preserve"> </w:t>
      </w:r>
      <w:proofErr w:type="spellStart"/>
      <w:r w:rsidRPr="00572CEC">
        <w:rPr>
          <w:sz w:val="20"/>
          <w:szCs w:val="20"/>
        </w:rPr>
        <w:t>further</w:t>
      </w:r>
      <w:proofErr w:type="spellEnd"/>
      <w:r w:rsidRPr="00572CEC">
        <w:rPr>
          <w:sz w:val="20"/>
          <w:szCs w:val="20"/>
        </w:rPr>
        <w:t xml:space="preserve"> </w:t>
      </w:r>
      <w:proofErr w:type="spellStart"/>
      <w:r w:rsidRPr="00572CEC">
        <w:rPr>
          <w:sz w:val="20"/>
          <w:szCs w:val="20"/>
        </w:rPr>
        <w:t>clarification</w:t>
      </w:r>
      <w:proofErr w:type="spellEnd"/>
      <w:r w:rsidRPr="00572CEC">
        <w:rPr>
          <w:sz w:val="20"/>
          <w:szCs w:val="20"/>
        </w:rPr>
        <w:t xml:space="preserve"> is </w:t>
      </w:r>
      <w:proofErr w:type="spellStart"/>
      <w:r w:rsidRPr="00572CEC">
        <w:rPr>
          <w:sz w:val="20"/>
          <w:szCs w:val="20"/>
        </w:rPr>
        <w:t>needed</w:t>
      </w:r>
      <w:proofErr w:type="spellEnd"/>
      <w:r w:rsidRPr="00572CEC">
        <w:rPr>
          <w:sz w:val="20"/>
          <w:szCs w:val="20"/>
        </w:rPr>
        <w:t xml:space="preserve"> on </w:t>
      </w:r>
      <w:proofErr w:type="spellStart"/>
      <w:r w:rsidRPr="00572CEC">
        <w:rPr>
          <w:sz w:val="20"/>
          <w:szCs w:val="20"/>
        </w:rPr>
        <w:t>the</w:t>
      </w:r>
      <w:proofErr w:type="spellEnd"/>
      <w:r w:rsidRPr="00572CEC">
        <w:rPr>
          <w:sz w:val="20"/>
          <w:szCs w:val="20"/>
        </w:rPr>
        <w:t xml:space="preserve"> </w:t>
      </w:r>
      <w:proofErr w:type="spellStart"/>
      <w:r w:rsidRPr="00572CEC">
        <w:rPr>
          <w:sz w:val="20"/>
          <w:szCs w:val="20"/>
        </w:rPr>
        <w:t>intent</w:t>
      </w:r>
      <w:proofErr w:type="spellEnd"/>
      <w:r w:rsidRPr="00572CEC">
        <w:rPr>
          <w:sz w:val="20"/>
          <w:szCs w:val="20"/>
        </w:rPr>
        <w:t xml:space="preserve"> of </w:t>
      </w:r>
      <w:proofErr w:type="spellStart"/>
      <w:r w:rsidRPr="00572CEC">
        <w:rPr>
          <w:sz w:val="20"/>
          <w:szCs w:val="20"/>
        </w:rPr>
        <w:t>this</w:t>
      </w:r>
      <w:proofErr w:type="spellEnd"/>
      <w:r w:rsidRPr="00572CEC">
        <w:rPr>
          <w:sz w:val="20"/>
          <w:szCs w:val="20"/>
        </w:rPr>
        <w:t xml:space="preserve"> FG. It </w:t>
      </w:r>
      <w:proofErr w:type="spellStart"/>
      <w:r w:rsidRPr="00572CEC">
        <w:rPr>
          <w:sz w:val="20"/>
          <w:szCs w:val="20"/>
        </w:rPr>
        <w:t>should</w:t>
      </w:r>
      <w:proofErr w:type="spellEnd"/>
      <w:r w:rsidRPr="00572CEC">
        <w:rPr>
          <w:sz w:val="20"/>
          <w:szCs w:val="20"/>
        </w:rPr>
        <w:t xml:space="preserve"> </w:t>
      </w:r>
      <w:proofErr w:type="spellStart"/>
      <w:r w:rsidRPr="00572CEC">
        <w:rPr>
          <w:sz w:val="20"/>
          <w:szCs w:val="20"/>
        </w:rPr>
        <w:t>not</w:t>
      </w:r>
      <w:proofErr w:type="spellEnd"/>
      <w:r w:rsidRPr="00572CEC">
        <w:rPr>
          <w:sz w:val="20"/>
          <w:szCs w:val="20"/>
        </w:rPr>
        <w:t xml:space="preserve"> </w:t>
      </w:r>
      <w:proofErr w:type="spellStart"/>
      <w:r w:rsidRPr="00572CEC">
        <w:rPr>
          <w:sz w:val="20"/>
          <w:szCs w:val="20"/>
        </w:rPr>
        <w:t>be</w:t>
      </w:r>
      <w:proofErr w:type="spellEnd"/>
      <w:r w:rsidRPr="00572CEC">
        <w:rPr>
          <w:sz w:val="20"/>
          <w:szCs w:val="20"/>
        </w:rPr>
        <w:t xml:space="preserve"> </w:t>
      </w:r>
      <w:proofErr w:type="spellStart"/>
      <w:r w:rsidRPr="00572CEC">
        <w:rPr>
          <w:sz w:val="20"/>
          <w:szCs w:val="20"/>
        </w:rPr>
        <w:t>about</w:t>
      </w:r>
      <w:proofErr w:type="spellEnd"/>
      <w:r w:rsidRPr="00572CEC">
        <w:rPr>
          <w:sz w:val="20"/>
          <w:szCs w:val="20"/>
        </w:rPr>
        <w:t xml:space="preserve"> </w:t>
      </w:r>
      <w:proofErr w:type="spellStart"/>
      <w:r w:rsidRPr="00572CEC">
        <w:rPr>
          <w:sz w:val="20"/>
          <w:szCs w:val="20"/>
        </w:rPr>
        <w:t>enhancement</w:t>
      </w:r>
      <w:proofErr w:type="spellEnd"/>
      <w:r w:rsidRPr="00572CEC">
        <w:rPr>
          <w:sz w:val="20"/>
          <w:szCs w:val="20"/>
        </w:rPr>
        <w:t xml:space="preserve"> to </w:t>
      </w:r>
      <w:proofErr w:type="spellStart"/>
      <w:r w:rsidRPr="00572CEC">
        <w:rPr>
          <w:sz w:val="20"/>
          <w:szCs w:val="20"/>
        </w:rPr>
        <w:t>monitoring</w:t>
      </w:r>
      <w:proofErr w:type="spellEnd"/>
      <w:r w:rsidRPr="00572CEC">
        <w:rPr>
          <w:sz w:val="20"/>
          <w:szCs w:val="20"/>
        </w:rPr>
        <w:t xml:space="preserve"> DCI 2_5 </w:t>
      </w:r>
      <w:proofErr w:type="spellStart"/>
      <w:r w:rsidRPr="00572CEC">
        <w:rPr>
          <w:sz w:val="20"/>
          <w:szCs w:val="20"/>
        </w:rPr>
        <w:t>itself</w:t>
      </w:r>
      <w:proofErr w:type="spellEnd"/>
      <w:r w:rsidRPr="00572CEC">
        <w:rPr>
          <w:sz w:val="20"/>
          <w:szCs w:val="20"/>
        </w:rPr>
        <w:t xml:space="preserve">, </w:t>
      </w:r>
      <w:proofErr w:type="spellStart"/>
      <w:r w:rsidRPr="00572CEC">
        <w:rPr>
          <w:sz w:val="20"/>
          <w:szCs w:val="20"/>
        </w:rPr>
        <w:t>but</w:t>
      </w:r>
      <w:proofErr w:type="spellEnd"/>
      <w:r w:rsidRPr="00572CEC">
        <w:rPr>
          <w:sz w:val="20"/>
          <w:szCs w:val="20"/>
        </w:rPr>
        <w:t xml:space="preserve"> on </w:t>
      </w:r>
      <w:proofErr w:type="spellStart"/>
      <w:r w:rsidRPr="00572CEC">
        <w:rPr>
          <w:sz w:val="20"/>
          <w:szCs w:val="20"/>
        </w:rPr>
        <w:t>supporting</w:t>
      </w:r>
      <w:proofErr w:type="spellEnd"/>
      <w:r w:rsidRPr="00572CEC">
        <w:rPr>
          <w:sz w:val="20"/>
          <w:szCs w:val="20"/>
        </w:rPr>
        <w:t xml:space="preserve"> </w:t>
      </w:r>
      <w:proofErr w:type="spellStart"/>
      <w:r w:rsidRPr="00572CEC">
        <w:rPr>
          <w:sz w:val="20"/>
          <w:szCs w:val="20"/>
        </w:rPr>
        <w:t>the</w:t>
      </w:r>
      <w:proofErr w:type="spellEnd"/>
      <w:r w:rsidRPr="00572CEC">
        <w:rPr>
          <w:sz w:val="20"/>
          <w:szCs w:val="20"/>
        </w:rPr>
        <w:t xml:space="preserve"> </w:t>
      </w:r>
      <w:proofErr w:type="spellStart"/>
      <w:r w:rsidRPr="00572CEC">
        <w:rPr>
          <w:sz w:val="20"/>
          <w:szCs w:val="20"/>
        </w:rPr>
        <w:t>enhanced</w:t>
      </w:r>
      <w:proofErr w:type="spellEnd"/>
      <w:r w:rsidRPr="00572CEC">
        <w:rPr>
          <w:sz w:val="20"/>
          <w:szCs w:val="20"/>
        </w:rPr>
        <w:t xml:space="preserve"> </w:t>
      </w:r>
      <w:proofErr w:type="spellStart"/>
      <w:r w:rsidRPr="00572CEC">
        <w:rPr>
          <w:sz w:val="20"/>
          <w:szCs w:val="20"/>
        </w:rPr>
        <w:t>resource</w:t>
      </w:r>
      <w:proofErr w:type="spellEnd"/>
      <w:r w:rsidRPr="00572CEC">
        <w:rPr>
          <w:sz w:val="20"/>
          <w:szCs w:val="20"/>
        </w:rPr>
        <w:t xml:space="preserve"> </w:t>
      </w:r>
      <w:proofErr w:type="spellStart"/>
      <w:r w:rsidRPr="00572CEC">
        <w:rPr>
          <w:sz w:val="20"/>
          <w:szCs w:val="20"/>
        </w:rPr>
        <w:t>configurations</w:t>
      </w:r>
      <w:proofErr w:type="spellEnd"/>
      <w:r w:rsidRPr="00572CEC">
        <w:rPr>
          <w:sz w:val="20"/>
          <w:szCs w:val="20"/>
        </w:rPr>
        <w:t xml:space="preserve">, </w:t>
      </w:r>
      <w:proofErr w:type="spellStart"/>
      <w:r w:rsidRPr="00572CEC">
        <w:rPr>
          <w:sz w:val="20"/>
          <w:szCs w:val="20"/>
        </w:rPr>
        <w:t>which</w:t>
      </w:r>
      <w:proofErr w:type="spellEnd"/>
      <w:r w:rsidRPr="00572CEC">
        <w:rPr>
          <w:sz w:val="20"/>
          <w:szCs w:val="20"/>
        </w:rPr>
        <w:t xml:space="preserve"> </w:t>
      </w:r>
      <w:proofErr w:type="spellStart"/>
      <w:r w:rsidRPr="00572CEC">
        <w:rPr>
          <w:sz w:val="20"/>
          <w:szCs w:val="20"/>
        </w:rPr>
        <w:t>happens</w:t>
      </w:r>
      <w:proofErr w:type="spellEnd"/>
      <w:r w:rsidRPr="00572CEC">
        <w:rPr>
          <w:sz w:val="20"/>
          <w:szCs w:val="20"/>
        </w:rPr>
        <w:t xml:space="preserve"> to </w:t>
      </w:r>
      <w:proofErr w:type="spellStart"/>
      <w:r w:rsidRPr="00572CEC">
        <w:rPr>
          <w:sz w:val="20"/>
          <w:szCs w:val="20"/>
        </w:rPr>
        <w:t>be</w:t>
      </w:r>
      <w:proofErr w:type="spellEnd"/>
      <w:r w:rsidRPr="00572CEC">
        <w:rPr>
          <w:sz w:val="20"/>
          <w:szCs w:val="20"/>
        </w:rPr>
        <w:t xml:space="preserve"> </w:t>
      </w:r>
      <w:proofErr w:type="spellStart"/>
      <w:r w:rsidRPr="00572CEC">
        <w:rPr>
          <w:sz w:val="20"/>
          <w:szCs w:val="20"/>
        </w:rPr>
        <w:t>pointed</w:t>
      </w:r>
      <w:proofErr w:type="spellEnd"/>
      <w:r w:rsidRPr="00572CEC">
        <w:rPr>
          <w:sz w:val="20"/>
          <w:szCs w:val="20"/>
        </w:rPr>
        <w:t xml:space="preserve"> </w:t>
      </w:r>
      <w:proofErr w:type="spellStart"/>
      <w:r w:rsidRPr="00572CEC">
        <w:rPr>
          <w:sz w:val="20"/>
          <w:szCs w:val="20"/>
        </w:rPr>
        <w:t>by</w:t>
      </w:r>
      <w:proofErr w:type="spellEnd"/>
      <w:r w:rsidRPr="00572CEC">
        <w:rPr>
          <w:sz w:val="20"/>
          <w:szCs w:val="20"/>
        </w:rPr>
        <w:t xml:space="preserve"> DCI 2_5. </w:t>
      </w:r>
    </w:p>
    <w:p w14:paraId="072627D8" w14:textId="6B9BE2C2" w:rsidR="00062F76" w:rsidRPr="00572CEC" w:rsidRDefault="00062F76" w:rsidP="00670845">
      <w:pPr>
        <w:pStyle w:val="ListParagraph"/>
        <w:numPr>
          <w:ilvl w:val="1"/>
          <w:numId w:val="34"/>
        </w:numPr>
        <w:rPr>
          <w:sz w:val="20"/>
          <w:szCs w:val="20"/>
        </w:rPr>
      </w:pPr>
      <w:proofErr w:type="spellStart"/>
      <w:r w:rsidRPr="00062F76">
        <w:rPr>
          <w:sz w:val="20"/>
          <w:szCs w:val="20"/>
        </w:rPr>
        <w:t>Consequence</w:t>
      </w:r>
      <w:proofErr w:type="spellEnd"/>
      <w:r w:rsidRPr="00062F76">
        <w:rPr>
          <w:sz w:val="20"/>
          <w:szCs w:val="20"/>
        </w:rPr>
        <w:t xml:space="preserve"> </w:t>
      </w:r>
      <w:proofErr w:type="spellStart"/>
      <w:r w:rsidRPr="00062F76">
        <w:rPr>
          <w:sz w:val="20"/>
          <w:szCs w:val="20"/>
        </w:rPr>
        <w:t>if</w:t>
      </w:r>
      <w:proofErr w:type="spellEnd"/>
      <w:r w:rsidRPr="00062F76">
        <w:rPr>
          <w:sz w:val="20"/>
          <w:szCs w:val="20"/>
        </w:rPr>
        <w:t xml:space="preserve"> </w:t>
      </w:r>
      <w:proofErr w:type="spellStart"/>
      <w:r w:rsidRPr="00062F76">
        <w:rPr>
          <w:sz w:val="20"/>
          <w:szCs w:val="20"/>
        </w:rPr>
        <w:t>not</w:t>
      </w:r>
      <w:proofErr w:type="spellEnd"/>
      <w:r w:rsidRPr="00062F76">
        <w:rPr>
          <w:sz w:val="20"/>
          <w:szCs w:val="20"/>
        </w:rPr>
        <w:t xml:space="preserve"> </w:t>
      </w:r>
      <w:proofErr w:type="spellStart"/>
      <w:r w:rsidRPr="00062F76">
        <w:rPr>
          <w:sz w:val="20"/>
          <w:szCs w:val="20"/>
        </w:rPr>
        <w:t>supported</w:t>
      </w:r>
      <w:proofErr w:type="spellEnd"/>
      <w:r w:rsidRPr="00062F76">
        <w:rPr>
          <w:sz w:val="20"/>
          <w:szCs w:val="20"/>
        </w:rPr>
        <w:t xml:space="preserve"> </w:t>
      </w:r>
      <w:proofErr w:type="spellStart"/>
      <w:r w:rsidRPr="00062F76">
        <w:rPr>
          <w:sz w:val="20"/>
          <w:szCs w:val="20"/>
        </w:rPr>
        <w:t>should</w:t>
      </w:r>
      <w:proofErr w:type="spellEnd"/>
      <w:r w:rsidRPr="00062F76">
        <w:rPr>
          <w:sz w:val="20"/>
          <w:szCs w:val="20"/>
        </w:rPr>
        <w:t xml:space="preserve"> </w:t>
      </w:r>
      <w:proofErr w:type="spellStart"/>
      <w:r w:rsidRPr="00062F76">
        <w:rPr>
          <w:sz w:val="20"/>
          <w:szCs w:val="20"/>
        </w:rPr>
        <w:t>be</w:t>
      </w:r>
      <w:proofErr w:type="spellEnd"/>
      <w:r w:rsidRPr="00062F76">
        <w:rPr>
          <w:sz w:val="20"/>
          <w:szCs w:val="20"/>
        </w:rPr>
        <w:t xml:space="preserve">: </w:t>
      </w:r>
      <w:proofErr w:type="spellStart"/>
      <w:r w:rsidRPr="00062F76">
        <w:rPr>
          <w:sz w:val="20"/>
          <w:szCs w:val="20"/>
        </w:rPr>
        <w:t>The</w:t>
      </w:r>
      <w:proofErr w:type="spellEnd"/>
      <w:r w:rsidRPr="00062F76">
        <w:rPr>
          <w:sz w:val="20"/>
          <w:szCs w:val="20"/>
        </w:rPr>
        <w:t xml:space="preserve"> IAB-</w:t>
      </w:r>
      <w:proofErr w:type="spellStart"/>
      <w:r w:rsidRPr="00062F76">
        <w:rPr>
          <w:sz w:val="20"/>
          <w:szCs w:val="20"/>
        </w:rPr>
        <w:t>node</w:t>
      </w:r>
      <w:proofErr w:type="spellEnd"/>
      <w:r w:rsidRPr="00062F76">
        <w:rPr>
          <w:sz w:val="20"/>
          <w:szCs w:val="20"/>
        </w:rPr>
        <w:t xml:space="preserve"> is </w:t>
      </w:r>
      <w:proofErr w:type="spellStart"/>
      <w:r w:rsidRPr="00062F76">
        <w:rPr>
          <w:sz w:val="20"/>
          <w:szCs w:val="20"/>
        </w:rPr>
        <w:t>unable</w:t>
      </w:r>
      <w:proofErr w:type="spellEnd"/>
      <w:r w:rsidRPr="00062F76">
        <w:rPr>
          <w:sz w:val="20"/>
          <w:szCs w:val="20"/>
        </w:rPr>
        <w:t xml:space="preserve"> to </w:t>
      </w:r>
      <w:proofErr w:type="spellStart"/>
      <w:r w:rsidRPr="00062F76">
        <w:rPr>
          <w:sz w:val="20"/>
          <w:szCs w:val="20"/>
        </w:rPr>
        <w:t>receive</w:t>
      </w:r>
      <w:proofErr w:type="spellEnd"/>
      <w:r w:rsidRPr="00062F76">
        <w:rPr>
          <w:sz w:val="20"/>
          <w:szCs w:val="20"/>
        </w:rPr>
        <w:t xml:space="preserve"> </w:t>
      </w:r>
      <w:proofErr w:type="spellStart"/>
      <w:r w:rsidRPr="00062F76">
        <w:rPr>
          <w:sz w:val="20"/>
          <w:szCs w:val="20"/>
        </w:rPr>
        <w:t>explicit</w:t>
      </w:r>
      <w:proofErr w:type="spellEnd"/>
      <w:r w:rsidRPr="00062F76">
        <w:rPr>
          <w:sz w:val="20"/>
          <w:szCs w:val="20"/>
        </w:rPr>
        <w:t xml:space="preserve"> </w:t>
      </w:r>
      <w:proofErr w:type="spellStart"/>
      <w:r w:rsidRPr="00062F76">
        <w:rPr>
          <w:sz w:val="20"/>
          <w:szCs w:val="20"/>
        </w:rPr>
        <w:t>availability</w:t>
      </w:r>
      <w:proofErr w:type="spellEnd"/>
      <w:r w:rsidRPr="00062F76">
        <w:rPr>
          <w:sz w:val="20"/>
          <w:szCs w:val="20"/>
        </w:rPr>
        <w:t xml:space="preserve"> </w:t>
      </w:r>
      <w:proofErr w:type="spellStart"/>
      <w:r w:rsidRPr="00062F76">
        <w:rPr>
          <w:sz w:val="20"/>
          <w:szCs w:val="20"/>
        </w:rPr>
        <w:t>indication</w:t>
      </w:r>
      <w:proofErr w:type="spellEnd"/>
      <w:r w:rsidRPr="00062F76">
        <w:rPr>
          <w:sz w:val="20"/>
          <w:szCs w:val="20"/>
        </w:rPr>
        <w:t xml:space="preserve"> for </w:t>
      </w:r>
      <w:r w:rsidRPr="00062F76">
        <w:rPr>
          <w:color w:val="FF0000"/>
          <w:sz w:val="20"/>
          <w:szCs w:val="20"/>
        </w:rPr>
        <w:t xml:space="preserve">FDM </w:t>
      </w:r>
      <w:r w:rsidRPr="00062F76">
        <w:rPr>
          <w:sz w:val="20"/>
          <w:szCs w:val="20"/>
        </w:rPr>
        <w:t xml:space="preserve">Soft </w:t>
      </w:r>
      <w:proofErr w:type="spellStart"/>
      <w:r w:rsidRPr="00062F76">
        <w:rPr>
          <w:sz w:val="20"/>
          <w:szCs w:val="20"/>
        </w:rPr>
        <w:t>resources</w:t>
      </w:r>
      <w:proofErr w:type="spellEnd"/>
      <w:r>
        <w:rPr>
          <w:sz w:val="20"/>
          <w:szCs w:val="20"/>
        </w:rPr>
        <w:t>.</w:t>
      </w:r>
    </w:p>
    <w:p w14:paraId="59CC1A58" w14:textId="77777777" w:rsidR="00F31590" w:rsidRDefault="00F31590" w:rsidP="00F31590">
      <w:pPr>
        <w:pStyle w:val="ListParagraph"/>
      </w:pPr>
    </w:p>
    <w:p w14:paraId="061B7B96" w14:textId="77777777" w:rsidR="00F31590" w:rsidRPr="006C27C9" w:rsidRDefault="00F31590" w:rsidP="00F31590">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515F77E2" w:rsidR="00FE5F76" w:rsidRDefault="00FE5F76" w:rsidP="00FE5F76">
      <w:r>
        <w:t xml:space="preserve">In this contribution we have presented our views on UE features for </w:t>
      </w:r>
      <w:r w:rsidR="00670845" w:rsidRPr="00670845">
        <w:t>IAB enhancements</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418C3EDD" w14:textId="77777777" w:rsidR="00F31590" w:rsidRDefault="00F31590" w:rsidP="00F31590">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RAN1#107-e, </w:t>
      </w:r>
      <w:proofErr w:type="spellStart"/>
      <w:r>
        <w:rPr>
          <w:sz w:val="20"/>
          <w:szCs w:val="20"/>
        </w:rPr>
        <w:t>Nov</w:t>
      </w:r>
      <w:proofErr w:type="spellEnd"/>
      <w:r>
        <w:rPr>
          <w:sz w:val="20"/>
          <w:szCs w:val="20"/>
        </w:rPr>
        <w:t>. 2021</w:t>
      </w:r>
    </w:p>
    <w:p w14:paraId="3C547043" w14:textId="77777777" w:rsidR="00F31590" w:rsidRDefault="00F31590" w:rsidP="00F31590">
      <w:pPr>
        <w:pStyle w:val="ListParagraph"/>
        <w:numPr>
          <w:ilvl w:val="0"/>
          <w:numId w:val="27"/>
        </w:numPr>
        <w:rPr>
          <w:sz w:val="20"/>
          <w:szCs w:val="20"/>
        </w:rPr>
      </w:pPr>
      <w:r>
        <w:rPr>
          <w:sz w:val="20"/>
          <w:szCs w:val="20"/>
        </w:rPr>
        <w:t>R1-2112902, ”</w:t>
      </w:r>
      <w:proofErr w:type="spellStart"/>
      <w:r>
        <w:rPr>
          <w:sz w:val="20"/>
          <w:szCs w:val="20"/>
        </w:rPr>
        <w:t>Updated</w:t>
      </w:r>
      <w:proofErr w:type="spellEnd"/>
      <w:r>
        <w:rPr>
          <w:sz w:val="20"/>
          <w:szCs w:val="20"/>
        </w:rPr>
        <w:t xml:space="preserve"> RAN1 UE </w:t>
      </w:r>
      <w:proofErr w:type="spellStart"/>
      <w:r>
        <w:rPr>
          <w:sz w:val="20"/>
          <w:szCs w:val="20"/>
        </w:rPr>
        <w:t>features</w:t>
      </w:r>
      <w:proofErr w:type="spellEnd"/>
      <w:r>
        <w:rPr>
          <w:sz w:val="20"/>
          <w:szCs w:val="20"/>
        </w:rPr>
        <w:t xml:space="preserve"> list for Rel-17 NR </w:t>
      </w:r>
      <w:proofErr w:type="spellStart"/>
      <w:r>
        <w:rPr>
          <w:sz w:val="20"/>
          <w:szCs w:val="20"/>
        </w:rPr>
        <w:t>after</w:t>
      </w:r>
      <w:proofErr w:type="spellEnd"/>
      <w:r>
        <w:rPr>
          <w:sz w:val="20"/>
          <w:szCs w:val="20"/>
        </w:rPr>
        <w:t xml:space="preserve"> RAN1 #107-e”, </w:t>
      </w:r>
      <w:proofErr w:type="spellStart"/>
      <w:r>
        <w:rPr>
          <w:sz w:val="20"/>
          <w:szCs w:val="20"/>
        </w:rPr>
        <w:t>Moderators</w:t>
      </w:r>
      <w:proofErr w:type="spellEnd"/>
      <w:r>
        <w:rPr>
          <w:sz w:val="20"/>
          <w:szCs w:val="20"/>
        </w:rPr>
        <w:t xml:space="preserve"> (AT&amp;T, NTT DOCOMO, INC.), </w:t>
      </w:r>
      <w:proofErr w:type="spellStart"/>
      <w:r>
        <w:rPr>
          <w:sz w:val="20"/>
          <w:szCs w:val="20"/>
        </w:rPr>
        <w:t>Nov</w:t>
      </w:r>
      <w:proofErr w:type="spellEnd"/>
      <w:r>
        <w:rPr>
          <w:sz w:val="20"/>
          <w:szCs w:val="20"/>
        </w:rPr>
        <w:t>. 2021</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686"/>
        <w:gridCol w:w="1080"/>
        <w:gridCol w:w="1170"/>
        <w:gridCol w:w="1170"/>
        <w:gridCol w:w="1668"/>
        <w:gridCol w:w="1392"/>
        <w:gridCol w:w="876"/>
        <w:gridCol w:w="993"/>
        <w:gridCol w:w="1842"/>
        <w:gridCol w:w="1843"/>
        <w:gridCol w:w="1276"/>
      </w:tblGrid>
      <w:tr w:rsidR="00670845" w:rsidRPr="003178AC" w14:paraId="1D1E15E9"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7BD25783"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F743D2B"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95B68C6"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Feature group</w:t>
            </w:r>
          </w:p>
        </w:tc>
        <w:tc>
          <w:tcPr>
            <w:tcW w:w="5686" w:type="dxa"/>
            <w:tcBorders>
              <w:top w:val="single" w:sz="4" w:space="0" w:color="auto"/>
              <w:left w:val="single" w:sz="4" w:space="0" w:color="auto"/>
              <w:bottom w:val="single" w:sz="4" w:space="0" w:color="auto"/>
              <w:right w:val="single" w:sz="4" w:space="0" w:color="auto"/>
            </w:tcBorders>
            <w:hideMark/>
          </w:tcPr>
          <w:p w14:paraId="02CF38B8"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Components</w:t>
            </w:r>
          </w:p>
        </w:tc>
        <w:tc>
          <w:tcPr>
            <w:tcW w:w="1080" w:type="dxa"/>
            <w:tcBorders>
              <w:top w:val="single" w:sz="4" w:space="0" w:color="auto"/>
              <w:left w:val="single" w:sz="4" w:space="0" w:color="auto"/>
              <w:bottom w:val="single" w:sz="4" w:space="0" w:color="auto"/>
              <w:right w:val="single" w:sz="4" w:space="0" w:color="auto"/>
            </w:tcBorders>
            <w:hideMark/>
          </w:tcPr>
          <w:p w14:paraId="62BF9494"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Prerequisite feature groups</w:t>
            </w:r>
          </w:p>
        </w:tc>
        <w:tc>
          <w:tcPr>
            <w:tcW w:w="1170" w:type="dxa"/>
            <w:tcBorders>
              <w:top w:val="single" w:sz="4" w:space="0" w:color="auto"/>
              <w:left w:val="single" w:sz="4" w:space="0" w:color="auto"/>
              <w:bottom w:val="single" w:sz="4" w:space="0" w:color="auto"/>
              <w:right w:val="single" w:sz="4" w:space="0" w:color="auto"/>
            </w:tcBorders>
            <w:hideMark/>
          </w:tcPr>
          <w:p w14:paraId="6AB3D246"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0F96B67A"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eastAsia="Gulim" w:hAnsiTheme="majorHAnsi" w:cstheme="majorHAnsi"/>
                <w:color w:val="000000" w:themeColor="text1"/>
                <w:szCs w:val="18"/>
              </w:rPr>
              <w:t xml:space="preserve">Applicable to </w:t>
            </w:r>
            <w:r w:rsidRPr="003178AC">
              <w:rPr>
                <w:rFonts w:asciiTheme="majorHAnsi" w:hAnsiTheme="majorHAnsi" w:cstheme="majorHAnsi"/>
                <w:color w:val="000000" w:themeColor="text1"/>
                <w:szCs w:val="18"/>
              </w:rPr>
              <w:t>the capability signalling exchange between UEs (V2X WI only)”.</w:t>
            </w:r>
          </w:p>
        </w:tc>
        <w:tc>
          <w:tcPr>
            <w:tcW w:w="1668" w:type="dxa"/>
            <w:tcBorders>
              <w:top w:val="single" w:sz="4" w:space="0" w:color="auto"/>
              <w:left w:val="single" w:sz="4" w:space="0" w:color="auto"/>
              <w:bottom w:val="single" w:sz="4" w:space="0" w:color="auto"/>
              <w:right w:val="single" w:sz="4" w:space="0" w:color="auto"/>
            </w:tcBorders>
            <w:hideMark/>
          </w:tcPr>
          <w:p w14:paraId="23E32124" w14:textId="77777777" w:rsidR="00670845" w:rsidRPr="003178AC" w:rsidRDefault="00670845" w:rsidP="00842F06">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Consequence if the feature is not supported by the UE</w:t>
            </w:r>
          </w:p>
        </w:tc>
        <w:tc>
          <w:tcPr>
            <w:tcW w:w="1392" w:type="dxa"/>
            <w:tcBorders>
              <w:top w:val="single" w:sz="4" w:space="0" w:color="auto"/>
              <w:left w:val="single" w:sz="4" w:space="0" w:color="auto"/>
              <w:bottom w:val="single" w:sz="4" w:space="0" w:color="auto"/>
              <w:right w:val="single" w:sz="4" w:space="0" w:color="auto"/>
            </w:tcBorders>
            <w:hideMark/>
          </w:tcPr>
          <w:p w14:paraId="5B7B2C1B" w14:textId="77777777" w:rsidR="00670845" w:rsidRPr="003178AC" w:rsidRDefault="00670845" w:rsidP="00842F06">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Type</w:t>
            </w:r>
          </w:p>
          <w:p w14:paraId="1F57F355" w14:textId="77777777" w:rsidR="00670845" w:rsidRPr="003178AC" w:rsidRDefault="00670845" w:rsidP="00842F06">
            <w:pPr>
              <w:pStyle w:val="TAN"/>
              <w:ind w:left="0" w:firstLine="0"/>
              <w:rPr>
                <w:rFonts w:asciiTheme="majorHAnsi" w:hAnsiTheme="majorHAnsi" w:cstheme="majorHAnsi"/>
                <w:b/>
                <w:color w:val="000000" w:themeColor="text1"/>
                <w:szCs w:val="18"/>
                <w:lang w:eastAsia="ja-JP"/>
              </w:rPr>
            </w:pPr>
            <w:r w:rsidRPr="003178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876" w:type="dxa"/>
            <w:tcBorders>
              <w:top w:val="single" w:sz="4" w:space="0" w:color="auto"/>
              <w:left w:val="single" w:sz="4" w:space="0" w:color="auto"/>
              <w:bottom w:val="single" w:sz="4" w:space="0" w:color="auto"/>
              <w:right w:val="single" w:sz="4" w:space="0" w:color="auto"/>
            </w:tcBorders>
            <w:hideMark/>
          </w:tcPr>
          <w:p w14:paraId="0C1ED076"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2FE469"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95A43B1"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6E3DC4E"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87719B" w14:textId="77777777" w:rsidR="00670845" w:rsidRPr="003178AC" w:rsidRDefault="00670845" w:rsidP="00842F06">
            <w:pPr>
              <w:pStyle w:val="TAH"/>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Mandatory/Optional</w:t>
            </w:r>
          </w:p>
        </w:tc>
      </w:tr>
      <w:tr w:rsidR="00670845" w:rsidRPr="003178AC" w14:paraId="6100AA50"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263B53E1"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4D0D961C"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31-1</w:t>
            </w:r>
          </w:p>
        </w:tc>
        <w:tc>
          <w:tcPr>
            <w:tcW w:w="1559" w:type="dxa"/>
            <w:tcBorders>
              <w:top w:val="single" w:sz="4" w:space="0" w:color="auto"/>
              <w:left w:val="single" w:sz="4" w:space="0" w:color="auto"/>
              <w:bottom w:val="single" w:sz="4" w:space="0" w:color="auto"/>
              <w:right w:val="single" w:sz="4" w:space="0" w:color="auto"/>
            </w:tcBorders>
            <w:hideMark/>
          </w:tcPr>
          <w:p w14:paraId="1D4492E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Guard symbols </w:t>
            </w:r>
          </w:p>
        </w:tc>
        <w:tc>
          <w:tcPr>
            <w:tcW w:w="5686" w:type="dxa"/>
            <w:tcBorders>
              <w:top w:val="single" w:sz="4" w:space="0" w:color="auto"/>
              <w:left w:val="single" w:sz="4" w:space="0" w:color="auto"/>
              <w:bottom w:val="single" w:sz="4" w:space="0" w:color="auto"/>
              <w:right w:val="single" w:sz="4" w:space="0" w:color="auto"/>
            </w:tcBorders>
            <w:hideMark/>
          </w:tcPr>
          <w:p w14:paraId="6AC5775F" w14:textId="77777777" w:rsidR="00670845" w:rsidRPr="003178AC" w:rsidRDefault="00670845" w:rsidP="00842F06">
            <w:pPr>
              <w:pStyle w:val="TAL"/>
              <w:rPr>
                <w:rFonts w:asciiTheme="majorHAnsi" w:hAnsiTheme="majorHAnsi" w:cstheme="majorHAnsi"/>
                <w:color w:val="000000" w:themeColor="text1"/>
                <w:szCs w:val="18"/>
                <w:lang w:eastAsia="ja-JP"/>
              </w:rPr>
            </w:pPr>
            <w:r w:rsidRPr="003178AC">
              <w:rPr>
                <w:rFonts w:asciiTheme="majorHAnsi" w:hAnsiTheme="majorHAnsi" w:cstheme="majorHAnsi"/>
                <w:color w:val="000000" w:themeColor="text1"/>
                <w:szCs w:val="18"/>
              </w:rPr>
              <w:t>1)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DesiredGuardSymbols</w:t>
            </w:r>
            <w:proofErr w:type="spellEnd"/>
            <w:r w:rsidRPr="003178AC">
              <w:rPr>
                <w:rFonts w:asciiTheme="majorHAnsi" w:hAnsiTheme="majorHAnsi" w:cstheme="majorHAnsi"/>
                <w:color w:val="000000" w:themeColor="text1"/>
                <w:szCs w:val="18"/>
                <w:lang w:eastAsia="zh-CN"/>
              </w:rPr>
              <w:t xml:space="preserve"> reporting</w:t>
            </w:r>
          </w:p>
          <w:p w14:paraId="34815938"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2) </w:t>
            </w:r>
            <w:r w:rsidRPr="003178AC">
              <w:rPr>
                <w:rFonts w:asciiTheme="majorHAnsi" w:hAnsiTheme="majorHAnsi" w:cstheme="majorHAnsi"/>
                <w:color w:val="000000" w:themeColor="text1"/>
                <w:szCs w:val="18"/>
                <w:lang w:eastAsia="zh-CN"/>
              </w:rPr>
              <w:t xml:space="preserve">Support Rel-17 </w:t>
            </w:r>
            <w:proofErr w:type="spellStart"/>
            <w:r w:rsidRPr="003178AC">
              <w:rPr>
                <w:rFonts w:asciiTheme="majorHAnsi" w:hAnsiTheme="majorHAnsi" w:cstheme="majorHAnsi"/>
                <w:color w:val="000000" w:themeColor="text1"/>
                <w:szCs w:val="18"/>
                <w:lang w:eastAsia="zh-CN"/>
              </w:rPr>
              <w:t>ProvidedGuardSymbols</w:t>
            </w:r>
            <w:proofErr w:type="spellEnd"/>
            <w:r w:rsidRPr="003178AC">
              <w:rPr>
                <w:rFonts w:asciiTheme="majorHAnsi" w:hAnsiTheme="majorHAnsi" w:cstheme="majorHAnsi"/>
                <w:color w:val="000000" w:themeColor="text1"/>
                <w:szCs w:val="18"/>
                <w:lang w:eastAsia="zh-CN"/>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61488DC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one or more of {31-4, 31-5}</w:t>
            </w:r>
          </w:p>
        </w:tc>
        <w:tc>
          <w:tcPr>
            <w:tcW w:w="1170" w:type="dxa"/>
            <w:tcBorders>
              <w:top w:val="single" w:sz="4" w:space="0" w:color="auto"/>
              <w:left w:val="single" w:sz="4" w:space="0" w:color="auto"/>
              <w:bottom w:val="single" w:sz="4" w:space="0" w:color="auto"/>
              <w:right w:val="single" w:sz="4" w:space="0" w:color="auto"/>
            </w:tcBorders>
            <w:hideMark/>
          </w:tcPr>
          <w:p w14:paraId="37744D0F"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3BD07A7"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5DB44EC"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Guard symbols reporting and reception associated with Case 6 and 7 timings are not supported</w:t>
            </w:r>
          </w:p>
        </w:tc>
        <w:tc>
          <w:tcPr>
            <w:tcW w:w="1392" w:type="dxa"/>
            <w:tcBorders>
              <w:top w:val="single" w:sz="4" w:space="0" w:color="auto"/>
              <w:left w:val="single" w:sz="4" w:space="0" w:color="auto"/>
              <w:bottom w:val="single" w:sz="4" w:space="0" w:color="auto"/>
              <w:right w:val="single" w:sz="4" w:space="0" w:color="auto"/>
            </w:tcBorders>
            <w:hideMark/>
          </w:tcPr>
          <w:p w14:paraId="47EFCE8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5D1EA4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1148CB6"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C671ECC"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B155B8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p w14:paraId="5D659865" w14:textId="77777777" w:rsidR="00670845" w:rsidRPr="003178AC" w:rsidRDefault="00670845" w:rsidP="00842F06">
            <w:pPr>
              <w:pStyle w:val="TAL"/>
              <w:rPr>
                <w:rFonts w:asciiTheme="majorHAnsi" w:hAnsiTheme="majorHAnsi" w:cstheme="majorHAnsi"/>
                <w:color w:val="000000" w:themeColor="text1"/>
                <w:szCs w:val="18"/>
                <w:lang w:eastAsia="zh-CN"/>
              </w:rPr>
            </w:pPr>
          </w:p>
          <w:p w14:paraId="1D943DAD"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Note: If an IAB node does not support a certain timing mode, the reported/provided values shall be ignored</w:t>
            </w:r>
          </w:p>
        </w:tc>
        <w:tc>
          <w:tcPr>
            <w:tcW w:w="1276" w:type="dxa"/>
            <w:tcBorders>
              <w:top w:val="single" w:sz="4" w:space="0" w:color="auto"/>
              <w:left w:val="single" w:sz="4" w:space="0" w:color="auto"/>
              <w:bottom w:val="single" w:sz="4" w:space="0" w:color="auto"/>
              <w:right w:val="single" w:sz="4" w:space="0" w:color="auto"/>
            </w:tcBorders>
            <w:hideMark/>
          </w:tcPr>
          <w:p w14:paraId="5B0EC74D"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076AEF84"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7192BAFE"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51C8CC0"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31-2</w:t>
            </w:r>
          </w:p>
        </w:tc>
        <w:tc>
          <w:tcPr>
            <w:tcW w:w="1559" w:type="dxa"/>
            <w:tcBorders>
              <w:top w:val="single" w:sz="4" w:space="0" w:color="auto"/>
              <w:left w:val="single" w:sz="4" w:space="0" w:color="auto"/>
              <w:bottom w:val="single" w:sz="4" w:space="0" w:color="auto"/>
              <w:right w:val="single" w:sz="4" w:space="0" w:color="auto"/>
            </w:tcBorders>
            <w:hideMark/>
          </w:tcPr>
          <w:p w14:paraId="53505992"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IAB-DU beam restriction indication</w:t>
            </w:r>
          </w:p>
        </w:tc>
        <w:tc>
          <w:tcPr>
            <w:tcW w:w="5686" w:type="dxa"/>
            <w:tcBorders>
              <w:top w:val="single" w:sz="4" w:space="0" w:color="auto"/>
              <w:left w:val="single" w:sz="4" w:space="0" w:color="auto"/>
              <w:bottom w:val="single" w:sz="4" w:space="0" w:color="auto"/>
              <w:right w:val="single" w:sz="4" w:space="0" w:color="auto"/>
            </w:tcBorders>
            <w:hideMark/>
          </w:tcPr>
          <w:p w14:paraId="4C891C3E"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restricted IAB-</w:t>
            </w:r>
            <w:r w:rsidRPr="003178AC">
              <w:rPr>
                <w:rFonts w:asciiTheme="majorHAnsi" w:hAnsiTheme="majorHAnsi" w:cstheme="majorHAnsi"/>
                <w:iCs/>
                <w:color w:val="000000" w:themeColor="text1"/>
                <w:szCs w:val="18"/>
              </w:rPr>
              <w:t>DU Beam Indication</w:t>
            </w:r>
            <w:r w:rsidRPr="003178AC">
              <w:rPr>
                <w:rFonts w:asciiTheme="majorHAnsi" w:hAnsiTheme="majorHAnsi" w:cstheme="majorHAnsi"/>
                <w:color w:val="000000" w:themeColor="text1"/>
                <w:szCs w:val="18"/>
              </w:rPr>
              <w:t xml:space="preserve"> reception</w:t>
            </w:r>
          </w:p>
        </w:tc>
        <w:tc>
          <w:tcPr>
            <w:tcW w:w="1080" w:type="dxa"/>
            <w:tcBorders>
              <w:top w:val="single" w:sz="4" w:space="0" w:color="auto"/>
              <w:left w:val="single" w:sz="4" w:space="0" w:color="auto"/>
              <w:bottom w:val="single" w:sz="4" w:space="0" w:color="auto"/>
              <w:right w:val="single" w:sz="4" w:space="0" w:color="auto"/>
            </w:tcBorders>
          </w:tcPr>
          <w:p w14:paraId="430D4712"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6F6C617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BE5047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0BE89C5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Parent-node cannot indicate restricted beams at the IAB-DU.</w:t>
            </w:r>
          </w:p>
        </w:tc>
        <w:tc>
          <w:tcPr>
            <w:tcW w:w="1392" w:type="dxa"/>
            <w:tcBorders>
              <w:top w:val="single" w:sz="4" w:space="0" w:color="auto"/>
              <w:left w:val="single" w:sz="4" w:space="0" w:color="auto"/>
              <w:bottom w:val="single" w:sz="4" w:space="0" w:color="auto"/>
              <w:right w:val="single" w:sz="4" w:space="0" w:color="auto"/>
            </w:tcBorders>
            <w:hideMark/>
          </w:tcPr>
          <w:p w14:paraId="75C2E3BC"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50A7A89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4AFBAE7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4606CD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23B24C7"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1FECF7E"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341508AE"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2C734D28"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5E63C5D4"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31-3</w:t>
            </w:r>
          </w:p>
        </w:tc>
        <w:tc>
          <w:tcPr>
            <w:tcW w:w="1559" w:type="dxa"/>
            <w:tcBorders>
              <w:top w:val="single" w:sz="4" w:space="0" w:color="auto"/>
              <w:left w:val="single" w:sz="4" w:space="0" w:color="auto"/>
              <w:bottom w:val="single" w:sz="4" w:space="0" w:color="auto"/>
              <w:right w:val="single" w:sz="4" w:space="0" w:color="auto"/>
            </w:tcBorders>
            <w:hideMark/>
          </w:tcPr>
          <w:p w14:paraId="34A94F1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beam recommendation indication</w:t>
            </w:r>
          </w:p>
        </w:tc>
        <w:tc>
          <w:tcPr>
            <w:tcW w:w="5686" w:type="dxa"/>
            <w:tcBorders>
              <w:top w:val="single" w:sz="4" w:space="0" w:color="auto"/>
              <w:left w:val="single" w:sz="4" w:space="0" w:color="auto"/>
              <w:bottom w:val="single" w:sz="4" w:space="0" w:color="auto"/>
              <w:right w:val="single" w:sz="4" w:space="0" w:color="auto"/>
            </w:tcBorders>
            <w:hideMark/>
          </w:tcPr>
          <w:p w14:paraId="5E4C604D"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recommended IAB-</w:t>
            </w:r>
            <w:r w:rsidRPr="003178AC">
              <w:rPr>
                <w:rFonts w:asciiTheme="majorHAnsi" w:hAnsiTheme="majorHAnsi" w:cstheme="majorHAnsi"/>
                <w:iCs/>
                <w:color w:val="000000" w:themeColor="text1"/>
                <w:szCs w:val="18"/>
              </w:rPr>
              <w:t>MT Beam Indication</w:t>
            </w:r>
            <w:r w:rsidRPr="003178AC">
              <w:rPr>
                <w:rFonts w:asciiTheme="majorHAnsi" w:hAnsiTheme="majorHAnsi" w:cstheme="majorHAnsi"/>
                <w:color w:val="000000" w:themeColor="text1"/>
                <w:szCs w:val="18"/>
              </w:rPr>
              <w:t xml:space="preserve"> transmission</w:t>
            </w:r>
          </w:p>
          <w:p w14:paraId="33174B3B" w14:textId="77777777" w:rsidR="00670845" w:rsidRPr="003178AC" w:rsidRDefault="00670845" w:rsidP="00842F06">
            <w:pPr>
              <w:pStyle w:val="TAL"/>
              <w:rPr>
                <w:rFonts w:asciiTheme="majorHAnsi" w:hAnsiTheme="majorHAnsi" w:cstheme="majorHAnsi"/>
                <w:color w:val="000000" w:themeColor="text1"/>
                <w:szCs w:val="18"/>
              </w:rPr>
            </w:pPr>
          </w:p>
          <w:p w14:paraId="1FADE76F"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IAB-MT DL beam</w:t>
            </w:r>
          </w:p>
          <w:p w14:paraId="6D944E5C"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IAB-MT UL beam</w:t>
            </w:r>
          </w:p>
        </w:tc>
        <w:tc>
          <w:tcPr>
            <w:tcW w:w="1080" w:type="dxa"/>
            <w:tcBorders>
              <w:top w:val="single" w:sz="4" w:space="0" w:color="auto"/>
              <w:left w:val="single" w:sz="4" w:space="0" w:color="auto"/>
              <w:bottom w:val="single" w:sz="4" w:space="0" w:color="auto"/>
              <w:right w:val="single" w:sz="4" w:space="0" w:color="auto"/>
            </w:tcBorders>
          </w:tcPr>
          <w:p w14:paraId="6D8F12BC"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4CEA51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6A13C41"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1291409D"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IAB-node cannot indicate recommended IAB-MT DL/UL beam to parent node</w:t>
            </w:r>
          </w:p>
        </w:tc>
        <w:tc>
          <w:tcPr>
            <w:tcW w:w="1392" w:type="dxa"/>
            <w:tcBorders>
              <w:top w:val="single" w:sz="4" w:space="0" w:color="auto"/>
              <w:left w:val="single" w:sz="4" w:space="0" w:color="auto"/>
              <w:bottom w:val="single" w:sz="4" w:space="0" w:color="auto"/>
              <w:right w:val="single" w:sz="4" w:space="0" w:color="auto"/>
            </w:tcBorders>
            <w:hideMark/>
          </w:tcPr>
          <w:p w14:paraId="696886F2"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IAB-node</w:t>
            </w:r>
          </w:p>
        </w:tc>
        <w:tc>
          <w:tcPr>
            <w:tcW w:w="876" w:type="dxa"/>
            <w:tcBorders>
              <w:top w:val="single" w:sz="4" w:space="0" w:color="auto"/>
              <w:left w:val="single" w:sz="4" w:space="0" w:color="auto"/>
              <w:bottom w:val="single" w:sz="4" w:space="0" w:color="auto"/>
              <w:right w:val="single" w:sz="4" w:space="0" w:color="auto"/>
            </w:tcBorders>
            <w:hideMark/>
          </w:tcPr>
          <w:p w14:paraId="6A0DEFCB"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3B51E95"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662F9D1"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5E16AFE6"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766F6C1"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12114EB2"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25FAC864"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20E65B41"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31-4</w:t>
            </w:r>
          </w:p>
        </w:tc>
        <w:tc>
          <w:tcPr>
            <w:tcW w:w="1559" w:type="dxa"/>
            <w:tcBorders>
              <w:top w:val="single" w:sz="4" w:space="0" w:color="auto"/>
              <w:left w:val="single" w:sz="4" w:space="0" w:color="auto"/>
              <w:bottom w:val="single" w:sz="4" w:space="0" w:color="auto"/>
              <w:right w:val="single" w:sz="4" w:space="0" w:color="auto"/>
            </w:tcBorders>
            <w:hideMark/>
          </w:tcPr>
          <w:p w14:paraId="4047858F"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Case 6 timing alignment</w:t>
            </w:r>
          </w:p>
        </w:tc>
        <w:tc>
          <w:tcPr>
            <w:tcW w:w="5686" w:type="dxa"/>
            <w:tcBorders>
              <w:top w:val="single" w:sz="4" w:space="0" w:color="auto"/>
              <w:left w:val="single" w:sz="4" w:space="0" w:color="auto"/>
              <w:bottom w:val="single" w:sz="4" w:space="0" w:color="auto"/>
              <w:right w:val="single" w:sz="4" w:space="0" w:color="auto"/>
            </w:tcBorders>
            <w:hideMark/>
          </w:tcPr>
          <w:p w14:paraId="12DB9A97"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Support Case 6 timing alignment indication reception</w:t>
            </w:r>
          </w:p>
        </w:tc>
        <w:tc>
          <w:tcPr>
            <w:tcW w:w="1080" w:type="dxa"/>
            <w:tcBorders>
              <w:top w:val="single" w:sz="4" w:space="0" w:color="auto"/>
              <w:left w:val="single" w:sz="4" w:space="0" w:color="auto"/>
              <w:bottom w:val="single" w:sz="4" w:space="0" w:color="auto"/>
              <w:right w:val="single" w:sz="4" w:space="0" w:color="auto"/>
            </w:tcBorders>
          </w:tcPr>
          <w:p w14:paraId="0DC64BF4"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B5C92DB"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797A8C6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D698277"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Switching across different timing cases (i.e., Case 1 at IAB-node, Case 6 at IAB-node, and/or Case 7 at the</w:t>
            </w:r>
          </w:p>
          <w:p w14:paraId="03BF05D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 is not supported. </w:t>
            </w:r>
          </w:p>
          <w:p w14:paraId="524FF7A0" w14:textId="77777777" w:rsidR="00670845" w:rsidRPr="003178AC" w:rsidRDefault="00670845" w:rsidP="00842F06">
            <w:pPr>
              <w:pStyle w:val="TAL"/>
              <w:rPr>
                <w:rFonts w:asciiTheme="majorHAnsi" w:hAnsiTheme="majorHAnsi" w:cstheme="majorHAnsi"/>
                <w:color w:val="000000" w:themeColor="text1"/>
                <w:szCs w:val="18"/>
                <w:lang w:eastAsia="zh-CN"/>
              </w:rPr>
            </w:pPr>
          </w:p>
          <w:p w14:paraId="60DB8BE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When to perform Case 6 timing at the IAB-node cannot be controlled by the parent node.</w:t>
            </w:r>
          </w:p>
        </w:tc>
        <w:tc>
          <w:tcPr>
            <w:tcW w:w="1392" w:type="dxa"/>
            <w:tcBorders>
              <w:top w:val="single" w:sz="4" w:space="0" w:color="auto"/>
              <w:left w:val="single" w:sz="4" w:space="0" w:color="auto"/>
              <w:bottom w:val="single" w:sz="4" w:space="0" w:color="auto"/>
              <w:right w:val="single" w:sz="4" w:space="0" w:color="auto"/>
            </w:tcBorders>
            <w:hideMark/>
          </w:tcPr>
          <w:p w14:paraId="619290B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EC6324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484261D"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CB6E93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01DFC83"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96CE81B"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5838D3F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3D04B1F2"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782B5BFD"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31-5</w:t>
            </w:r>
          </w:p>
        </w:tc>
        <w:tc>
          <w:tcPr>
            <w:tcW w:w="1559" w:type="dxa"/>
            <w:tcBorders>
              <w:top w:val="single" w:sz="4" w:space="0" w:color="auto"/>
              <w:left w:val="single" w:sz="4" w:space="0" w:color="auto"/>
              <w:bottom w:val="single" w:sz="4" w:space="0" w:color="auto"/>
              <w:right w:val="single" w:sz="4" w:space="0" w:color="auto"/>
            </w:tcBorders>
            <w:hideMark/>
          </w:tcPr>
          <w:p w14:paraId="3274F943"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Case 7 timing alignment</w:t>
            </w:r>
          </w:p>
        </w:tc>
        <w:tc>
          <w:tcPr>
            <w:tcW w:w="5686" w:type="dxa"/>
            <w:tcBorders>
              <w:top w:val="single" w:sz="4" w:space="0" w:color="auto"/>
              <w:left w:val="single" w:sz="4" w:space="0" w:color="auto"/>
              <w:bottom w:val="single" w:sz="4" w:space="0" w:color="auto"/>
              <w:right w:val="single" w:sz="4" w:space="0" w:color="auto"/>
            </w:tcBorders>
            <w:hideMark/>
          </w:tcPr>
          <w:p w14:paraId="4C8B5F06"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Case7 timing offset indication reception</w:t>
            </w:r>
          </w:p>
          <w:p w14:paraId="19C9414C"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Case 7 timing at parent-node indication reception</w:t>
            </w:r>
          </w:p>
        </w:tc>
        <w:tc>
          <w:tcPr>
            <w:tcW w:w="1080" w:type="dxa"/>
            <w:tcBorders>
              <w:top w:val="single" w:sz="4" w:space="0" w:color="auto"/>
              <w:left w:val="single" w:sz="4" w:space="0" w:color="auto"/>
              <w:bottom w:val="single" w:sz="4" w:space="0" w:color="auto"/>
              <w:right w:val="single" w:sz="4" w:space="0" w:color="auto"/>
            </w:tcBorders>
          </w:tcPr>
          <w:p w14:paraId="58DACB76"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CBC595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40BB3E0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6A47AF4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 cannot adopt both (and switch between) Case 1 and Case 7 timing. </w:t>
            </w:r>
          </w:p>
        </w:tc>
        <w:tc>
          <w:tcPr>
            <w:tcW w:w="1392" w:type="dxa"/>
            <w:tcBorders>
              <w:top w:val="single" w:sz="4" w:space="0" w:color="auto"/>
              <w:left w:val="single" w:sz="4" w:space="0" w:color="auto"/>
              <w:bottom w:val="single" w:sz="4" w:space="0" w:color="auto"/>
              <w:right w:val="single" w:sz="4" w:space="0" w:color="auto"/>
            </w:tcBorders>
            <w:hideMark/>
          </w:tcPr>
          <w:p w14:paraId="5B1CA9C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75AA602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438AE96"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2D8E7D4C"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E69870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416EF1A3"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5698BC9C"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17290EE4"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D2CF7FA"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31-6</w:t>
            </w:r>
          </w:p>
        </w:tc>
        <w:tc>
          <w:tcPr>
            <w:tcW w:w="1559" w:type="dxa"/>
            <w:tcBorders>
              <w:top w:val="single" w:sz="4" w:space="0" w:color="auto"/>
              <w:left w:val="single" w:sz="4" w:space="0" w:color="auto"/>
              <w:bottom w:val="single" w:sz="4" w:space="0" w:color="auto"/>
              <w:right w:val="single" w:sz="4" w:space="0" w:color="auto"/>
            </w:tcBorders>
            <w:hideMark/>
          </w:tcPr>
          <w:p w14:paraId="6131FFAB"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DL TX power adjustment</w:t>
            </w:r>
          </w:p>
        </w:tc>
        <w:tc>
          <w:tcPr>
            <w:tcW w:w="5686" w:type="dxa"/>
            <w:tcBorders>
              <w:top w:val="single" w:sz="4" w:space="0" w:color="auto"/>
              <w:left w:val="single" w:sz="4" w:space="0" w:color="auto"/>
              <w:bottom w:val="single" w:sz="4" w:space="0" w:color="auto"/>
              <w:right w:val="single" w:sz="4" w:space="0" w:color="auto"/>
            </w:tcBorders>
            <w:hideMark/>
          </w:tcPr>
          <w:p w14:paraId="562A38C2"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1.) Support Desired DL TX Power Adjustment reporting</w:t>
            </w:r>
          </w:p>
          <w:p w14:paraId="2CD04B10"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2.) Support DL TX Power Adjustment reception</w:t>
            </w:r>
          </w:p>
        </w:tc>
        <w:tc>
          <w:tcPr>
            <w:tcW w:w="1080" w:type="dxa"/>
            <w:tcBorders>
              <w:top w:val="single" w:sz="4" w:space="0" w:color="auto"/>
              <w:left w:val="single" w:sz="4" w:space="0" w:color="auto"/>
              <w:bottom w:val="single" w:sz="4" w:space="0" w:color="auto"/>
              <w:right w:val="single" w:sz="4" w:space="0" w:color="auto"/>
            </w:tcBorders>
          </w:tcPr>
          <w:p w14:paraId="4DDC5D75"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9FA37A2"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2F350B6F"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104630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Parent-node’s DL TX power adjustment </w:t>
            </w:r>
            <w:proofErr w:type="gramStart"/>
            <w:r w:rsidRPr="003178AC">
              <w:rPr>
                <w:rFonts w:asciiTheme="majorHAnsi" w:hAnsiTheme="majorHAnsi" w:cstheme="majorHAnsi"/>
                <w:color w:val="000000" w:themeColor="text1"/>
                <w:szCs w:val="18"/>
                <w:lang w:eastAsia="zh-CN"/>
              </w:rPr>
              <w:t>reporting</w:t>
            </w:r>
            <w:proofErr w:type="gramEnd"/>
            <w:r w:rsidRPr="003178AC">
              <w:rPr>
                <w:rFonts w:asciiTheme="majorHAnsi" w:hAnsiTheme="majorHAnsi" w:cstheme="majorHAnsi"/>
                <w:color w:val="000000" w:themeColor="text1"/>
                <w:szCs w:val="18"/>
                <w:lang w:eastAsia="zh-CN"/>
              </w:rPr>
              <w:t xml:space="preserve"> and reception is not supported.</w:t>
            </w:r>
          </w:p>
        </w:tc>
        <w:tc>
          <w:tcPr>
            <w:tcW w:w="1392" w:type="dxa"/>
            <w:tcBorders>
              <w:top w:val="single" w:sz="4" w:space="0" w:color="auto"/>
              <w:left w:val="single" w:sz="4" w:space="0" w:color="auto"/>
              <w:bottom w:val="single" w:sz="4" w:space="0" w:color="auto"/>
              <w:right w:val="single" w:sz="4" w:space="0" w:color="auto"/>
            </w:tcBorders>
            <w:hideMark/>
          </w:tcPr>
          <w:p w14:paraId="40583593"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130C120F"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511D9221"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67BDD2B"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8E0AB0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E0D7D9D"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5393716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3C889EF0" w14:textId="77777777" w:rsidR="00670845" w:rsidRPr="003178AC" w:rsidRDefault="00670845" w:rsidP="00842F06">
            <w:pPr>
              <w:jc w:val="both"/>
              <w:rPr>
                <w:rFonts w:asciiTheme="majorHAnsi" w:eastAsiaTheme="minorEastAsia"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6046371A"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31-7</w:t>
            </w:r>
          </w:p>
        </w:tc>
        <w:tc>
          <w:tcPr>
            <w:tcW w:w="1559" w:type="dxa"/>
            <w:tcBorders>
              <w:top w:val="single" w:sz="4" w:space="0" w:color="auto"/>
              <w:left w:val="single" w:sz="4" w:space="0" w:color="auto"/>
              <w:bottom w:val="single" w:sz="4" w:space="0" w:color="auto"/>
              <w:right w:val="single" w:sz="4" w:space="0" w:color="auto"/>
            </w:tcBorders>
            <w:hideMark/>
          </w:tcPr>
          <w:p w14:paraId="00BCB917"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highlight w:val="yellow"/>
                <w:lang w:eastAsia="zh-CN"/>
              </w:rPr>
              <w:t>[Desired]</w:t>
            </w:r>
            <w:r w:rsidRPr="003178AC">
              <w:rPr>
                <w:rFonts w:asciiTheme="majorHAnsi" w:hAnsiTheme="majorHAnsi" w:cstheme="majorHAnsi"/>
                <w:color w:val="000000" w:themeColor="text1"/>
                <w:szCs w:val="18"/>
                <w:lang w:eastAsia="zh-CN"/>
              </w:rPr>
              <w:t xml:space="preserve"> UL TX power adjustment </w:t>
            </w:r>
          </w:p>
        </w:tc>
        <w:tc>
          <w:tcPr>
            <w:tcW w:w="5686" w:type="dxa"/>
            <w:tcBorders>
              <w:top w:val="single" w:sz="4" w:space="0" w:color="auto"/>
              <w:left w:val="single" w:sz="4" w:space="0" w:color="auto"/>
              <w:bottom w:val="single" w:sz="4" w:space="0" w:color="auto"/>
              <w:right w:val="single" w:sz="4" w:space="0" w:color="auto"/>
            </w:tcBorders>
            <w:hideMark/>
          </w:tcPr>
          <w:p w14:paraId="63155642"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 xml:space="preserve">Support </w:t>
            </w:r>
            <w:r w:rsidRPr="003178AC">
              <w:rPr>
                <w:rFonts w:asciiTheme="majorHAnsi" w:hAnsiTheme="majorHAnsi" w:cstheme="majorHAnsi"/>
                <w:color w:val="000000" w:themeColor="text1"/>
                <w:szCs w:val="18"/>
                <w:highlight w:val="yellow"/>
              </w:rPr>
              <w:t>[Desired IAB-MT PSD range]</w:t>
            </w:r>
            <w:r w:rsidRPr="003178AC">
              <w:rPr>
                <w:rFonts w:asciiTheme="majorHAnsi" w:hAnsiTheme="majorHAnsi" w:cstheme="majorHAnsi"/>
                <w:color w:val="000000" w:themeColor="text1"/>
                <w:szCs w:val="18"/>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49B16F1"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CCBEF4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hideMark/>
          </w:tcPr>
          <w:p w14:paraId="06A6199C"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hideMark/>
          </w:tcPr>
          <w:p w14:paraId="2D31215B"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Desired MT’s UL PSD range reporting is not supported.</w:t>
            </w:r>
          </w:p>
        </w:tc>
        <w:tc>
          <w:tcPr>
            <w:tcW w:w="1392" w:type="dxa"/>
            <w:tcBorders>
              <w:top w:val="single" w:sz="4" w:space="0" w:color="auto"/>
              <w:left w:val="single" w:sz="4" w:space="0" w:color="auto"/>
              <w:bottom w:val="single" w:sz="4" w:space="0" w:color="auto"/>
              <w:right w:val="single" w:sz="4" w:space="0" w:color="auto"/>
            </w:tcBorders>
            <w:hideMark/>
          </w:tcPr>
          <w:p w14:paraId="50D975ED"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hideMark/>
          </w:tcPr>
          <w:p w14:paraId="418DE515"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B9A2440"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636DB25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25FC6FE"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2F61BCC4"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198AAB0C"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A72C18E"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F783A73"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highlight w:val="yellow"/>
                <w:lang w:eastAsia="en-GB"/>
              </w:rPr>
              <w:t>[31-8]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675420" w14:textId="77777777" w:rsidR="00670845" w:rsidRPr="003178AC" w:rsidRDefault="00670845" w:rsidP="00842F06">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highlight w:val="yellow"/>
                <w:lang w:eastAsia="zh-CN"/>
              </w:rPr>
              <w:t>[Dynamic indication of Rel-17 or FDM soft resource availability]</w:t>
            </w:r>
          </w:p>
        </w:tc>
        <w:tc>
          <w:tcPr>
            <w:tcW w:w="5686" w:type="dxa"/>
            <w:tcBorders>
              <w:top w:val="single" w:sz="4" w:space="0" w:color="auto"/>
              <w:left w:val="single" w:sz="4" w:space="0" w:color="auto"/>
              <w:bottom w:val="single" w:sz="4" w:space="0" w:color="auto"/>
              <w:right w:val="single" w:sz="4" w:space="0" w:color="auto"/>
            </w:tcBorders>
            <w:shd w:val="clear" w:color="auto" w:fill="FFFF00"/>
          </w:tcPr>
          <w:p w14:paraId="11131D54"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val="en-US" w:eastAsia="zh-CN"/>
              </w:rPr>
              <w:t>Support monitoring DCI Format 2_5 scrambled by AI-RNTI for indication of FDM soft resource availability to an IAB node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558E0DB"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B6F405"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BC4213"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shd w:val="clear" w:color="auto" w:fill="FFFF00"/>
          </w:tcPr>
          <w:p w14:paraId="273FC013" w14:textId="791223E0"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The IAB-node is unable to receive explicit availability indication for Soft resources</w:t>
            </w:r>
          </w:p>
        </w:tc>
        <w:tc>
          <w:tcPr>
            <w:tcW w:w="1392" w:type="dxa"/>
            <w:tcBorders>
              <w:top w:val="single" w:sz="4" w:space="0" w:color="auto"/>
              <w:left w:val="single" w:sz="4" w:space="0" w:color="auto"/>
              <w:bottom w:val="single" w:sz="4" w:space="0" w:color="auto"/>
              <w:right w:val="single" w:sz="4" w:space="0" w:color="auto"/>
            </w:tcBorders>
            <w:shd w:val="clear" w:color="auto" w:fill="FFFF00"/>
          </w:tcPr>
          <w:p w14:paraId="53B8655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IAB node</w:t>
            </w:r>
          </w:p>
        </w:tc>
        <w:tc>
          <w:tcPr>
            <w:tcW w:w="876" w:type="dxa"/>
            <w:tcBorders>
              <w:top w:val="single" w:sz="4" w:space="0" w:color="auto"/>
              <w:left w:val="single" w:sz="4" w:space="0" w:color="auto"/>
              <w:bottom w:val="single" w:sz="4" w:space="0" w:color="auto"/>
              <w:right w:val="single" w:sz="4" w:space="0" w:color="auto"/>
            </w:tcBorders>
            <w:shd w:val="clear" w:color="auto" w:fill="FFFF00"/>
          </w:tcPr>
          <w:p w14:paraId="64142BD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E2DF9F"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EA9D50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45DD6D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07CE85"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r w:rsidR="00670845" w:rsidRPr="003178AC" w14:paraId="31A6AAE2"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tcPr>
          <w:p w14:paraId="77D0A008"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lastRenderedPageBreak/>
              <w:t xml:space="preserve">31. </w:t>
            </w:r>
            <w:proofErr w:type="spellStart"/>
            <w:r w:rsidRPr="003178AC">
              <w:rPr>
                <w:rFonts w:asciiTheme="majorHAnsi" w:eastAsia="MS Mincho" w:hAnsiTheme="majorHAnsi" w:cstheme="majorHAnsi"/>
                <w:color w:val="000000" w:themeColor="text1"/>
                <w:sz w:val="18"/>
                <w:szCs w:val="18"/>
              </w:rPr>
              <w:t>NR_IAB_enh</w:t>
            </w:r>
            <w:proofErr w:type="spellEnd"/>
          </w:p>
        </w:tc>
        <w:tc>
          <w:tcPr>
            <w:tcW w:w="710" w:type="dxa"/>
            <w:tcBorders>
              <w:top w:val="single" w:sz="4" w:space="0" w:color="auto"/>
              <w:left w:val="single" w:sz="4" w:space="0" w:color="auto"/>
              <w:bottom w:val="single" w:sz="4" w:space="0" w:color="auto"/>
              <w:right w:val="single" w:sz="4" w:space="0" w:color="auto"/>
            </w:tcBorders>
          </w:tcPr>
          <w:p w14:paraId="19984759" w14:textId="77777777" w:rsidR="00670845" w:rsidRPr="003178AC" w:rsidRDefault="00670845" w:rsidP="00842F06">
            <w:pPr>
              <w:jc w:val="both"/>
              <w:rPr>
                <w:rFonts w:asciiTheme="majorHAnsi" w:eastAsia="MS Mincho" w:hAnsiTheme="majorHAnsi" w:cstheme="majorHAnsi"/>
                <w:color w:val="000000" w:themeColor="text1"/>
                <w:sz w:val="18"/>
                <w:szCs w:val="18"/>
              </w:rPr>
            </w:pPr>
            <w:r w:rsidRPr="003178AC">
              <w:rPr>
                <w:rFonts w:asciiTheme="majorHAnsi" w:eastAsia="MS Mincho" w:hAnsiTheme="majorHAnsi" w:cstheme="majorHAnsi"/>
                <w:color w:val="000000" w:themeColor="text1"/>
                <w:sz w:val="18"/>
                <w:szCs w:val="18"/>
              </w:rPr>
              <w:t>31-9</w:t>
            </w:r>
          </w:p>
        </w:tc>
        <w:tc>
          <w:tcPr>
            <w:tcW w:w="1559" w:type="dxa"/>
            <w:tcBorders>
              <w:top w:val="single" w:sz="4" w:space="0" w:color="auto"/>
              <w:left w:val="single" w:sz="4" w:space="0" w:color="auto"/>
              <w:bottom w:val="single" w:sz="4" w:space="0" w:color="auto"/>
              <w:right w:val="single" w:sz="4" w:space="0" w:color="auto"/>
            </w:tcBorders>
          </w:tcPr>
          <w:p w14:paraId="01F5DF4D" w14:textId="77777777" w:rsidR="00670845" w:rsidRPr="003178AC" w:rsidRDefault="00670845" w:rsidP="00842F06">
            <w:pPr>
              <w:pStyle w:val="TAL"/>
              <w:rPr>
                <w:rFonts w:asciiTheme="majorHAnsi" w:hAnsiTheme="majorHAnsi" w:cstheme="majorHAnsi"/>
                <w:color w:val="000000" w:themeColor="text1"/>
                <w:szCs w:val="18"/>
                <w:highlight w:val="yellow"/>
                <w:lang w:eastAsia="zh-CN"/>
              </w:rPr>
            </w:pPr>
            <w:r w:rsidRPr="003178AC">
              <w:rPr>
                <w:rFonts w:asciiTheme="majorHAnsi" w:hAnsiTheme="majorHAnsi" w:cstheme="majorHAnsi"/>
                <w:color w:val="000000" w:themeColor="text1"/>
                <w:szCs w:val="18"/>
                <w:lang w:eastAsia="zh-CN"/>
              </w:rPr>
              <w:t>Simultaneous transmission and reception from multiple parent nodes</w:t>
            </w:r>
          </w:p>
        </w:tc>
        <w:tc>
          <w:tcPr>
            <w:tcW w:w="5686" w:type="dxa"/>
            <w:tcBorders>
              <w:top w:val="single" w:sz="4" w:space="0" w:color="auto"/>
              <w:left w:val="single" w:sz="4" w:space="0" w:color="auto"/>
              <w:bottom w:val="single" w:sz="4" w:space="0" w:color="auto"/>
              <w:right w:val="single" w:sz="4" w:space="0" w:color="auto"/>
            </w:tcBorders>
          </w:tcPr>
          <w:p w14:paraId="508448C4"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lang w:eastAsia="zh-CN"/>
              </w:rPr>
              <w:t>Support simultaneous transmission and reception from multiple parent nodes</w:t>
            </w:r>
          </w:p>
        </w:tc>
        <w:tc>
          <w:tcPr>
            <w:tcW w:w="1080" w:type="dxa"/>
            <w:tcBorders>
              <w:top w:val="single" w:sz="4" w:space="0" w:color="auto"/>
              <w:left w:val="single" w:sz="4" w:space="0" w:color="auto"/>
              <w:bottom w:val="single" w:sz="4" w:space="0" w:color="auto"/>
              <w:right w:val="single" w:sz="4" w:space="0" w:color="auto"/>
            </w:tcBorders>
          </w:tcPr>
          <w:p w14:paraId="7DE85F18" w14:textId="77777777" w:rsidR="00670845" w:rsidRPr="003178AC" w:rsidRDefault="00670845" w:rsidP="00842F06">
            <w:pPr>
              <w:pStyle w:val="TAL"/>
              <w:rPr>
                <w:rFonts w:asciiTheme="majorHAnsi" w:hAnsiTheme="majorHAnsi" w:cstheme="majorHAnsi"/>
                <w:color w:val="000000" w:themeColor="text1"/>
                <w:szCs w:val="18"/>
                <w:lang w:eastAsia="zh-CN"/>
              </w:rPr>
            </w:pPr>
          </w:p>
        </w:tc>
        <w:tc>
          <w:tcPr>
            <w:tcW w:w="1170" w:type="dxa"/>
            <w:tcBorders>
              <w:top w:val="single" w:sz="4" w:space="0" w:color="auto"/>
              <w:left w:val="single" w:sz="4" w:space="0" w:color="auto"/>
              <w:bottom w:val="single" w:sz="4" w:space="0" w:color="auto"/>
              <w:right w:val="single" w:sz="4" w:space="0" w:color="auto"/>
            </w:tcBorders>
          </w:tcPr>
          <w:p w14:paraId="56950F08"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2F6E94B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N/A</w:t>
            </w:r>
          </w:p>
        </w:tc>
        <w:tc>
          <w:tcPr>
            <w:tcW w:w="1668" w:type="dxa"/>
            <w:tcBorders>
              <w:top w:val="single" w:sz="4" w:space="0" w:color="auto"/>
              <w:left w:val="single" w:sz="4" w:space="0" w:color="auto"/>
              <w:bottom w:val="single" w:sz="4" w:space="0" w:color="auto"/>
              <w:right w:val="single" w:sz="4" w:space="0" w:color="auto"/>
            </w:tcBorders>
          </w:tcPr>
          <w:p w14:paraId="404C6FD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 xml:space="preserve">Simultaneous transmission and reception </w:t>
            </w:r>
            <w:proofErr w:type="gramStart"/>
            <w:r w:rsidRPr="003178AC">
              <w:rPr>
                <w:rFonts w:asciiTheme="majorHAnsi" w:hAnsiTheme="majorHAnsi" w:cstheme="majorHAnsi"/>
                <w:color w:val="000000" w:themeColor="text1"/>
                <w:szCs w:val="18"/>
                <w:lang w:eastAsia="zh-CN"/>
              </w:rPr>
              <w:t>is</w:t>
            </w:r>
            <w:proofErr w:type="gramEnd"/>
            <w:r w:rsidRPr="003178AC">
              <w:rPr>
                <w:rFonts w:asciiTheme="majorHAnsi" w:hAnsiTheme="majorHAnsi" w:cstheme="majorHAnsi"/>
                <w:color w:val="000000" w:themeColor="text1"/>
                <w:szCs w:val="18"/>
                <w:lang w:eastAsia="zh-CN"/>
              </w:rPr>
              <w:t xml:space="preserve"> not supported in DC scenario</w:t>
            </w:r>
          </w:p>
        </w:tc>
        <w:tc>
          <w:tcPr>
            <w:tcW w:w="1392" w:type="dxa"/>
            <w:tcBorders>
              <w:top w:val="single" w:sz="4" w:space="0" w:color="auto"/>
              <w:left w:val="single" w:sz="4" w:space="0" w:color="auto"/>
              <w:bottom w:val="single" w:sz="4" w:space="0" w:color="auto"/>
              <w:right w:val="single" w:sz="4" w:space="0" w:color="auto"/>
            </w:tcBorders>
          </w:tcPr>
          <w:p w14:paraId="4F6BAE39"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per BC</w:t>
            </w:r>
          </w:p>
        </w:tc>
        <w:tc>
          <w:tcPr>
            <w:tcW w:w="876" w:type="dxa"/>
            <w:tcBorders>
              <w:top w:val="single" w:sz="4" w:space="0" w:color="auto"/>
              <w:left w:val="single" w:sz="4" w:space="0" w:color="auto"/>
              <w:bottom w:val="single" w:sz="4" w:space="0" w:color="auto"/>
              <w:right w:val="single" w:sz="4" w:space="0" w:color="auto"/>
            </w:tcBorders>
          </w:tcPr>
          <w:p w14:paraId="7107AB1A"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E3C01F3"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F23AAB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4658BD04" w14:textId="77777777" w:rsidR="00670845" w:rsidRPr="003178AC" w:rsidRDefault="00670845" w:rsidP="00842F06">
            <w:pPr>
              <w:pStyle w:val="TAL"/>
              <w:rPr>
                <w:rFonts w:asciiTheme="majorHAnsi" w:hAnsiTheme="majorHAnsi" w:cstheme="majorHAnsi"/>
                <w:color w:val="000000" w:themeColor="text1"/>
                <w:szCs w:val="18"/>
                <w:lang w:eastAsia="zh-CN"/>
              </w:rPr>
            </w:pPr>
            <w:r w:rsidRPr="003178AC">
              <w:rPr>
                <w:rFonts w:asciiTheme="majorHAnsi" w:hAnsiTheme="majorHAnsi" w:cstheme="majorHAnsi"/>
                <w:color w:val="000000" w:themeColor="text1"/>
                <w:szCs w:val="18"/>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55582595" w14:textId="77777777" w:rsidR="00670845" w:rsidRPr="003178AC" w:rsidRDefault="00670845" w:rsidP="00842F06">
            <w:pPr>
              <w:pStyle w:val="TAL"/>
              <w:rPr>
                <w:rFonts w:asciiTheme="majorHAnsi" w:hAnsiTheme="majorHAnsi" w:cstheme="majorHAnsi"/>
                <w:color w:val="000000" w:themeColor="text1"/>
                <w:szCs w:val="18"/>
              </w:rPr>
            </w:pPr>
            <w:r w:rsidRPr="003178AC">
              <w:rPr>
                <w:rFonts w:asciiTheme="majorHAnsi" w:hAnsiTheme="majorHAnsi" w:cstheme="majorHAnsi"/>
                <w:color w:val="000000" w:themeColor="text1"/>
                <w:szCs w:val="18"/>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978B2" w14:textId="77777777" w:rsidR="00765005" w:rsidRDefault="00765005">
      <w:r>
        <w:separator/>
      </w:r>
    </w:p>
  </w:endnote>
  <w:endnote w:type="continuationSeparator" w:id="0">
    <w:p w14:paraId="4B7C2EDD" w14:textId="77777777" w:rsidR="00765005" w:rsidRDefault="0076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ECE32" w14:textId="77777777" w:rsidR="00765005" w:rsidRDefault="00765005">
      <w:r>
        <w:separator/>
      </w:r>
    </w:p>
  </w:footnote>
  <w:footnote w:type="continuationSeparator" w:id="0">
    <w:p w14:paraId="08F4CD14" w14:textId="77777777" w:rsidR="00765005" w:rsidRDefault="00765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E18398F"/>
    <w:multiLevelType w:val="hybridMultilevel"/>
    <w:tmpl w:val="CB18F9D4"/>
    <w:lvl w:ilvl="0" w:tplc="4F968C38">
      <w:start w:val="5"/>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1174F"/>
    <w:multiLevelType w:val="hybridMultilevel"/>
    <w:tmpl w:val="F1B8A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7"/>
  </w:num>
  <w:num w:numId="3">
    <w:abstractNumId w:val="0"/>
  </w:num>
  <w:num w:numId="4">
    <w:abstractNumId w:val="4"/>
  </w:num>
  <w:num w:numId="5">
    <w:abstractNumId w:val="17"/>
  </w:num>
  <w:num w:numId="6">
    <w:abstractNumId w:val="28"/>
  </w:num>
  <w:num w:numId="7">
    <w:abstractNumId w:val="19"/>
  </w:num>
  <w:num w:numId="8">
    <w:abstractNumId w:val="16"/>
  </w:num>
  <w:num w:numId="9">
    <w:abstractNumId w:val="32"/>
  </w:num>
  <w:num w:numId="10">
    <w:abstractNumId w:val="6"/>
  </w:num>
  <w:num w:numId="11">
    <w:abstractNumId w:val="21"/>
  </w:num>
  <w:num w:numId="12">
    <w:abstractNumId w:val="5"/>
  </w:num>
  <w:num w:numId="13">
    <w:abstractNumId w:val="14"/>
  </w:num>
  <w:num w:numId="14">
    <w:abstractNumId w:val="25"/>
  </w:num>
  <w:num w:numId="15">
    <w:abstractNumId w:val="18"/>
  </w:num>
  <w:num w:numId="16">
    <w:abstractNumId w:val="1"/>
  </w:num>
  <w:num w:numId="17">
    <w:abstractNumId w:val="23"/>
  </w:num>
  <w:num w:numId="18">
    <w:abstractNumId w:val="15"/>
  </w:num>
  <w:num w:numId="19">
    <w:abstractNumId w:val="20"/>
  </w:num>
  <w:num w:numId="20">
    <w:abstractNumId w:val="31"/>
  </w:num>
  <w:num w:numId="21">
    <w:abstractNumId w:val="33"/>
  </w:num>
  <w:num w:numId="22">
    <w:abstractNumId w:val="22"/>
  </w:num>
  <w:num w:numId="23">
    <w:abstractNumId w:val="13"/>
  </w:num>
  <w:num w:numId="24">
    <w:abstractNumId w:val="7"/>
  </w:num>
  <w:num w:numId="25">
    <w:abstractNumId w:val="29"/>
  </w:num>
  <w:num w:numId="26">
    <w:abstractNumId w:val="26"/>
  </w:num>
  <w:num w:numId="27">
    <w:abstractNumId w:val="11"/>
  </w:num>
  <w:num w:numId="28">
    <w:abstractNumId w:val="10"/>
  </w:num>
  <w:num w:numId="29">
    <w:abstractNumId w:val="24"/>
  </w:num>
  <w:num w:numId="30">
    <w:abstractNumId w:val="2"/>
  </w:num>
  <w:num w:numId="31">
    <w:abstractNumId w:val="3"/>
  </w:num>
  <w:num w:numId="32">
    <w:abstractNumId w:val="30"/>
  </w:num>
  <w:num w:numId="33">
    <w:abstractNumId w:val="12"/>
  </w:num>
  <w:num w:numId="3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C74"/>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2F76"/>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446"/>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2CEC"/>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845"/>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0DFA"/>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005"/>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0533"/>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D95"/>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B76"/>
    <w:rsid w:val="009E5EB5"/>
    <w:rsid w:val="009E74F0"/>
    <w:rsid w:val="009E7F23"/>
    <w:rsid w:val="009F0768"/>
    <w:rsid w:val="009F102A"/>
    <w:rsid w:val="009F151C"/>
    <w:rsid w:val="009F2A19"/>
    <w:rsid w:val="009F2D9A"/>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0B9"/>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81A"/>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61C4"/>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1590"/>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F3159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5AIRPNAIUNRU-1830940522-14104</_dlc_DocId>
    <_dlc_DocIdUrl xmlns="71c5aaf6-e6ce-465b-b873-5148d2a4c105">
      <Url>https://nokia.sharepoint.com/sites/c5g/5gradio/_layouts/15/DocIdRedir.aspx?ID=5AIRPNAIUNRU-1830940522-14104</Url>
      <Description>5AIRPNAIUNRU-1830940522-14104</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216</TotalTime>
  <Pages>3</Pages>
  <Words>852</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10</cp:revision>
  <cp:lastPrinted>2016-06-20T11:35:00Z</cp:lastPrinted>
  <dcterms:created xsi:type="dcterms:W3CDTF">2022-02-04T12:35:00Z</dcterms:created>
  <dcterms:modified xsi:type="dcterms:W3CDTF">2022-02-14T08:42:00Z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4d530a90-07ed-4827-8b48-fd1a8ebd700a</vt:lpwstr>
  </property>
</Properties>
</file>